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54F" w:rsidRPr="005F5A99" w:rsidRDefault="0015554F" w:rsidP="0015554F">
      <w:pPr>
        <w:jc w:val="center"/>
        <w:rPr>
          <w:rFonts w:ascii="Times New Roman" w:hAnsi="Times New Roman"/>
          <w:b/>
          <w:i/>
          <w:sz w:val="24"/>
        </w:rPr>
      </w:pPr>
      <w:bookmarkStart w:id="0" w:name="_GoBack"/>
      <w:bookmarkEnd w:id="0"/>
      <w:r w:rsidRPr="009257BF">
        <w:rPr>
          <w:rFonts w:ascii="Times New Roman" w:hAnsi="Times New Roman"/>
          <w:b/>
          <w:i/>
          <w:noProof/>
          <w:sz w:val="24"/>
          <w:lang w:eastAsia="zh-TW"/>
        </w:rPr>
        <w:drawing>
          <wp:inline distT="0" distB="0" distL="0" distR="0">
            <wp:extent cx="581025" cy="638175"/>
            <wp:effectExtent l="0" t="0" r="9525"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grayscl/>
                      <a:extLst>
                        <a:ext uri="{28A0092B-C50C-407E-A947-70E740481C1C}">
                          <a14:useLocalDpi xmlns:a14="http://schemas.microsoft.com/office/drawing/2010/main" val="0"/>
                        </a:ext>
                      </a:extLst>
                    </a:blip>
                    <a:srcRect/>
                    <a:stretch>
                      <a:fillRect/>
                    </a:stretch>
                  </pic:blipFill>
                  <pic:spPr bwMode="auto">
                    <a:xfrm>
                      <a:off x="0" y="0"/>
                      <a:ext cx="581025" cy="638175"/>
                    </a:xfrm>
                    <a:prstGeom prst="rect">
                      <a:avLst/>
                    </a:prstGeom>
                    <a:noFill/>
                    <a:ln>
                      <a:noFill/>
                    </a:ln>
                  </pic:spPr>
                </pic:pic>
              </a:graphicData>
            </a:graphic>
          </wp:inline>
        </w:drawing>
      </w:r>
    </w:p>
    <w:p w:rsidR="0015554F" w:rsidRPr="00E84A08" w:rsidRDefault="0015554F" w:rsidP="0015554F">
      <w:pPr>
        <w:jc w:val="center"/>
        <w:rPr>
          <w:rFonts w:ascii="Times New Roman" w:hAnsi="Times New Roman"/>
          <w:b/>
          <w:i/>
          <w:sz w:val="24"/>
          <w:szCs w:val="24"/>
        </w:rPr>
      </w:pPr>
      <w:r w:rsidRPr="00E84A08">
        <w:rPr>
          <w:rFonts w:ascii="Times New Roman" w:hAnsi="Times New Roman"/>
          <w:b/>
          <w:i/>
          <w:sz w:val="24"/>
          <w:szCs w:val="24"/>
        </w:rPr>
        <w:t>SERVIÇO PÚBLICO FEDERAL</w:t>
      </w:r>
    </w:p>
    <w:p w:rsidR="0015554F" w:rsidRPr="00E84A08" w:rsidRDefault="0015554F" w:rsidP="0015554F">
      <w:pPr>
        <w:jc w:val="center"/>
        <w:rPr>
          <w:rFonts w:ascii="Times New Roman" w:hAnsi="Times New Roman"/>
          <w:b/>
          <w:i/>
          <w:sz w:val="24"/>
          <w:szCs w:val="24"/>
        </w:rPr>
      </w:pPr>
      <w:r w:rsidRPr="00E84A08">
        <w:rPr>
          <w:rFonts w:ascii="Times New Roman" w:hAnsi="Times New Roman"/>
          <w:b/>
          <w:i/>
          <w:sz w:val="24"/>
          <w:szCs w:val="24"/>
        </w:rPr>
        <w:t>MJ – DEPARTAMENTO DE POLÍCIA FEDERAL</w:t>
      </w:r>
    </w:p>
    <w:p w:rsidR="0015554F" w:rsidRPr="00E84A08" w:rsidRDefault="0015554F" w:rsidP="0015554F">
      <w:pPr>
        <w:pStyle w:val="Cabealho"/>
        <w:jc w:val="center"/>
        <w:rPr>
          <w:rFonts w:ascii="Times New Roman" w:hAnsi="Times New Roman"/>
          <w:b/>
          <w:bCs/>
          <w:i w:val="0"/>
          <w:sz w:val="24"/>
          <w:szCs w:val="24"/>
        </w:rPr>
      </w:pPr>
      <w:r w:rsidRPr="00E84A08">
        <w:rPr>
          <w:rFonts w:ascii="Times New Roman" w:hAnsi="Times New Roman"/>
          <w:b/>
          <w:i w:val="0"/>
          <w:sz w:val="24"/>
          <w:szCs w:val="24"/>
        </w:rPr>
        <w:t xml:space="preserve">DLOG/CPLAM – </w:t>
      </w:r>
      <w:r w:rsidRPr="00E84A08">
        <w:rPr>
          <w:rFonts w:ascii="Times New Roman" w:hAnsi="Times New Roman"/>
          <w:b/>
          <w:bCs/>
          <w:i w:val="0"/>
          <w:sz w:val="24"/>
          <w:szCs w:val="24"/>
        </w:rPr>
        <w:t xml:space="preserve">DIVISÃO DE </w:t>
      </w:r>
      <w:r>
        <w:rPr>
          <w:rFonts w:ascii="Times New Roman" w:hAnsi="Times New Roman"/>
          <w:b/>
          <w:bCs/>
          <w:i w:val="0"/>
          <w:sz w:val="24"/>
          <w:szCs w:val="24"/>
        </w:rPr>
        <w:t>ENGENHARIA E ARQUITETURA</w:t>
      </w:r>
    </w:p>
    <w:p w:rsidR="0015554F" w:rsidRPr="00E84A08" w:rsidRDefault="0015554F" w:rsidP="0015554F">
      <w:pPr>
        <w:pStyle w:val="Cabealho"/>
        <w:jc w:val="center"/>
        <w:rPr>
          <w:rFonts w:ascii="Times New Roman" w:hAnsi="Times New Roman"/>
          <w:b/>
          <w:i w:val="0"/>
          <w:sz w:val="24"/>
          <w:szCs w:val="24"/>
        </w:rPr>
      </w:pPr>
      <w:r w:rsidRPr="00E84A08">
        <w:rPr>
          <w:rFonts w:ascii="Times New Roman" w:hAnsi="Times New Roman"/>
          <w:b/>
          <w:bCs/>
          <w:i w:val="0"/>
          <w:sz w:val="24"/>
          <w:szCs w:val="24"/>
        </w:rPr>
        <w:t>SERVIÇO DE FISCALIZAÇÃO DE OBRAS</w:t>
      </w:r>
    </w:p>
    <w:p w:rsidR="0015554F" w:rsidRDefault="0015554F"/>
    <w:p w:rsidR="007068E2" w:rsidRPr="00AF04FB" w:rsidRDefault="007068E2" w:rsidP="007068E2">
      <w:pPr>
        <w:rPr>
          <w:rFonts w:cs="Arial"/>
          <w:i/>
        </w:rPr>
      </w:pPr>
      <w:r>
        <w:rPr>
          <w:rFonts w:cs="Arial"/>
          <w:sz w:val="32"/>
          <w:szCs w:val="32"/>
        </w:rPr>
        <w:t xml:space="preserve">  </w:t>
      </w:r>
    </w:p>
    <w:tbl>
      <w:tblPr>
        <w:tblW w:w="0" w:type="auto"/>
        <w:tblInd w:w="108" w:type="dxa"/>
        <w:tblLook w:val="04A0" w:firstRow="1" w:lastRow="0" w:firstColumn="1" w:lastColumn="0" w:noHBand="0" w:noVBand="1"/>
      </w:tblPr>
      <w:tblGrid>
        <w:gridCol w:w="4377"/>
        <w:gridCol w:w="4019"/>
      </w:tblGrid>
      <w:tr w:rsidR="007068E2" w:rsidRPr="00CC6D53" w:rsidTr="00AD1229">
        <w:trPr>
          <w:trHeight w:val="242"/>
        </w:trPr>
        <w:tc>
          <w:tcPr>
            <w:tcW w:w="4483" w:type="dxa"/>
          </w:tcPr>
          <w:p w:rsidR="007068E2" w:rsidRPr="007068E2" w:rsidRDefault="007068E2" w:rsidP="007068E2">
            <w:pPr>
              <w:overflowPunct w:val="0"/>
              <w:autoSpaceDE w:val="0"/>
              <w:autoSpaceDN w:val="0"/>
              <w:adjustRightInd w:val="0"/>
              <w:spacing w:after="0" w:line="240" w:lineRule="auto"/>
              <w:ind w:left="885"/>
              <w:jc w:val="both"/>
              <w:textAlignment w:val="baseline"/>
              <w:rPr>
                <w:rFonts w:ascii="Arial" w:eastAsia="Times New Roman" w:hAnsi="Arial" w:cs="Arial"/>
                <w:b/>
                <w:sz w:val="40"/>
                <w:szCs w:val="40"/>
                <w:lang w:eastAsia="pt-BR"/>
              </w:rPr>
            </w:pPr>
            <w:r w:rsidRPr="007068E2">
              <w:rPr>
                <w:rFonts w:ascii="Arial" w:eastAsia="Times New Roman" w:hAnsi="Arial" w:cs="Arial"/>
                <w:b/>
                <w:noProof/>
                <w:sz w:val="40"/>
                <w:szCs w:val="40"/>
                <w:lang w:eastAsia="zh-TW"/>
              </w:rPr>
              <w:drawing>
                <wp:anchor distT="0" distB="0" distL="114300" distR="114300" simplePos="0" relativeHeight="251659264" behindDoc="0" locked="0" layoutInCell="1" allowOverlap="1" wp14:anchorId="33143FF3" wp14:editId="2AE6223F">
                  <wp:simplePos x="0" y="0"/>
                  <wp:positionH relativeFrom="column">
                    <wp:posOffset>41910</wp:posOffset>
                  </wp:positionH>
                  <wp:positionV relativeFrom="paragraph">
                    <wp:posOffset>-48895</wp:posOffset>
                  </wp:positionV>
                  <wp:extent cx="427990" cy="559435"/>
                  <wp:effectExtent l="19050" t="0" r="0" b="0"/>
                  <wp:wrapNone/>
                  <wp:docPr id="2"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5"/>
                          <a:srcRect/>
                          <a:stretch>
                            <a:fillRect/>
                          </a:stretch>
                        </pic:blipFill>
                        <pic:spPr bwMode="auto">
                          <a:xfrm>
                            <a:off x="0" y="0"/>
                            <a:ext cx="427990" cy="559435"/>
                          </a:xfrm>
                          <a:prstGeom prst="rect">
                            <a:avLst/>
                          </a:prstGeom>
                          <a:noFill/>
                          <a:ln w="9525">
                            <a:noFill/>
                            <a:miter lim="800000"/>
                            <a:headEnd/>
                            <a:tailEnd/>
                          </a:ln>
                        </pic:spPr>
                      </pic:pic>
                    </a:graphicData>
                  </a:graphic>
                </wp:anchor>
              </w:drawing>
            </w:r>
            <w:r w:rsidRPr="007068E2">
              <w:rPr>
                <w:rFonts w:ascii="Arial" w:eastAsia="Times New Roman" w:hAnsi="Arial" w:cs="Arial"/>
                <w:b/>
                <w:sz w:val="40"/>
                <w:szCs w:val="40"/>
                <w:lang w:eastAsia="pt-BR"/>
              </w:rPr>
              <w:t>DPF</w:t>
            </w:r>
          </w:p>
          <w:p w:rsidR="007068E2" w:rsidRPr="00CC6D53" w:rsidRDefault="007068E2" w:rsidP="007068E2">
            <w:pPr>
              <w:overflowPunct w:val="0"/>
              <w:autoSpaceDE w:val="0"/>
              <w:autoSpaceDN w:val="0"/>
              <w:adjustRightInd w:val="0"/>
              <w:spacing w:after="0" w:line="240" w:lineRule="auto"/>
              <w:ind w:left="885"/>
              <w:textAlignment w:val="baseline"/>
              <w:rPr>
                <w:rFonts w:cs="Arial"/>
                <w:i/>
                <w:sz w:val="12"/>
                <w:szCs w:val="12"/>
              </w:rPr>
            </w:pPr>
            <w:r w:rsidRPr="007068E2">
              <w:rPr>
                <w:rFonts w:ascii="Arial" w:eastAsia="Times New Roman" w:hAnsi="Arial" w:cs="Arial"/>
                <w:sz w:val="32"/>
                <w:szCs w:val="32"/>
                <w:lang w:eastAsia="pt-BR"/>
              </w:rPr>
              <w:t>DEA/CPLAM/DLOG</w:t>
            </w:r>
          </w:p>
        </w:tc>
        <w:tc>
          <w:tcPr>
            <w:tcW w:w="4591" w:type="dxa"/>
          </w:tcPr>
          <w:p w:rsidR="007068E2" w:rsidRPr="00CC6D53" w:rsidRDefault="00CC3258" w:rsidP="007068E2">
            <w:pPr>
              <w:overflowPunct w:val="0"/>
              <w:autoSpaceDE w:val="0"/>
              <w:autoSpaceDN w:val="0"/>
              <w:adjustRightInd w:val="0"/>
              <w:spacing w:after="0" w:line="240" w:lineRule="auto"/>
              <w:jc w:val="right"/>
              <w:textAlignment w:val="baseline"/>
              <w:rPr>
                <w:rFonts w:cs="Arial"/>
                <w:i/>
                <w:sz w:val="28"/>
                <w:szCs w:val="28"/>
              </w:rPr>
            </w:pPr>
            <w:r>
              <w:rPr>
                <w:rFonts w:cs="Arial"/>
                <w:b/>
                <w:sz w:val="28"/>
                <w:szCs w:val="28"/>
              </w:rPr>
              <w:t xml:space="preserve"> ANEXO VI</w:t>
            </w:r>
            <w:r w:rsidR="007068E2">
              <w:rPr>
                <w:rFonts w:cs="Arial"/>
                <w:b/>
                <w:sz w:val="28"/>
                <w:szCs w:val="28"/>
              </w:rPr>
              <w:t xml:space="preserve"> - </w:t>
            </w:r>
            <w:r w:rsidR="007068E2" w:rsidRPr="00CC6D53">
              <w:rPr>
                <w:rFonts w:cs="Arial"/>
                <w:b/>
                <w:sz w:val="28"/>
                <w:szCs w:val="28"/>
              </w:rPr>
              <w:t xml:space="preserve">Caderno </w:t>
            </w:r>
            <w:r w:rsidR="007068E2">
              <w:rPr>
                <w:rFonts w:cs="Arial"/>
                <w:b/>
                <w:sz w:val="28"/>
                <w:szCs w:val="28"/>
              </w:rPr>
              <w:t>de Justificativas</w:t>
            </w:r>
          </w:p>
          <w:p w:rsidR="007068E2" w:rsidRPr="00CC6D53" w:rsidRDefault="007068E2" w:rsidP="00AD1229">
            <w:pPr>
              <w:rPr>
                <w:rFonts w:cs="Arial"/>
                <w:i/>
                <w:sz w:val="12"/>
                <w:szCs w:val="12"/>
              </w:rPr>
            </w:pPr>
          </w:p>
        </w:tc>
      </w:tr>
    </w:tbl>
    <w:p w:rsidR="007068E2" w:rsidRPr="00AF04FB" w:rsidRDefault="007068E2" w:rsidP="007068E2">
      <w:pPr>
        <w:rPr>
          <w:rFonts w:cs="Arial"/>
          <w:i/>
          <w:sz w:val="12"/>
          <w:szCs w:val="1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gridCol w:w="4300"/>
      </w:tblGrid>
      <w:tr w:rsidR="007068E2" w:rsidRPr="00AF04FB" w:rsidTr="00AD1229">
        <w:trPr>
          <w:cantSplit/>
          <w:trHeight w:val="413"/>
        </w:trPr>
        <w:tc>
          <w:tcPr>
            <w:tcW w:w="4772" w:type="dxa"/>
            <w:vMerge w:val="restart"/>
            <w:vAlign w:val="center"/>
          </w:tcPr>
          <w:p w:rsidR="007068E2" w:rsidRPr="00AF04FB" w:rsidRDefault="007068E2" w:rsidP="00CC3258">
            <w:pPr>
              <w:overflowPunct w:val="0"/>
              <w:autoSpaceDE w:val="0"/>
              <w:autoSpaceDN w:val="0"/>
              <w:adjustRightInd w:val="0"/>
              <w:spacing w:after="0" w:line="240" w:lineRule="auto"/>
              <w:jc w:val="center"/>
              <w:textAlignment w:val="baseline"/>
              <w:rPr>
                <w:rFonts w:cs="Arial"/>
                <w:b/>
                <w:i/>
                <w:sz w:val="24"/>
                <w:szCs w:val="24"/>
              </w:rPr>
            </w:pPr>
            <w:r w:rsidRPr="00CC3258">
              <w:rPr>
                <w:rFonts w:ascii="Arial" w:eastAsia="Times New Roman" w:hAnsi="Arial" w:cs="Arial"/>
                <w:b/>
                <w:sz w:val="24"/>
                <w:szCs w:val="24"/>
                <w:lang w:eastAsia="pt-BR"/>
              </w:rPr>
              <w:t>Adequação do Sistema Elétrico de Tensão Primária do Complexo da Polícia Federal no Setor Policial Sul – Brasília/DF</w:t>
            </w:r>
            <w:r>
              <w:rPr>
                <w:rFonts w:cs="Arial"/>
                <w:b/>
                <w:sz w:val="24"/>
                <w:szCs w:val="24"/>
              </w:rPr>
              <w:t xml:space="preserve"> </w:t>
            </w:r>
          </w:p>
        </w:tc>
        <w:tc>
          <w:tcPr>
            <w:tcW w:w="4300" w:type="dxa"/>
            <w:vAlign w:val="center"/>
          </w:tcPr>
          <w:p w:rsidR="007068E2" w:rsidRPr="00680C95" w:rsidRDefault="007068E2" w:rsidP="00CC3258">
            <w:pPr>
              <w:overflowPunct w:val="0"/>
              <w:autoSpaceDE w:val="0"/>
              <w:autoSpaceDN w:val="0"/>
              <w:adjustRightInd w:val="0"/>
              <w:spacing w:after="0" w:line="240" w:lineRule="auto"/>
              <w:jc w:val="center"/>
              <w:textAlignment w:val="baseline"/>
              <w:rPr>
                <w:rFonts w:cs="Arial"/>
                <w:b/>
                <w:i/>
                <w:sz w:val="24"/>
                <w:szCs w:val="24"/>
              </w:rPr>
            </w:pPr>
            <w:r w:rsidRPr="00680C95">
              <w:rPr>
                <w:rFonts w:cs="Arial"/>
                <w:b/>
                <w:sz w:val="24"/>
                <w:szCs w:val="24"/>
              </w:rPr>
              <w:t>Projeto Básico</w:t>
            </w:r>
            <w:r>
              <w:rPr>
                <w:rFonts w:cs="Arial"/>
                <w:b/>
                <w:sz w:val="24"/>
                <w:szCs w:val="24"/>
              </w:rPr>
              <w:t xml:space="preserve"> nº</w:t>
            </w:r>
            <w:r w:rsidRPr="00680C95">
              <w:rPr>
                <w:rFonts w:cs="Arial"/>
                <w:b/>
                <w:sz w:val="24"/>
                <w:szCs w:val="24"/>
              </w:rPr>
              <w:t xml:space="preserve"> 0</w:t>
            </w:r>
            <w:r>
              <w:rPr>
                <w:rFonts w:cs="Arial"/>
                <w:b/>
                <w:sz w:val="24"/>
                <w:szCs w:val="24"/>
              </w:rPr>
              <w:t>4</w:t>
            </w:r>
            <w:r w:rsidRPr="00680C95">
              <w:rPr>
                <w:rFonts w:cs="Arial"/>
                <w:b/>
                <w:sz w:val="24"/>
                <w:szCs w:val="24"/>
              </w:rPr>
              <w:t>/201</w:t>
            </w:r>
            <w:r>
              <w:rPr>
                <w:rFonts w:cs="Arial"/>
                <w:b/>
                <w:sz w:val="24"/>
                <w:szCs w:val="24"/>
              </w:rPr>
              <w:t>4</w:t>
            </w:r>
            <w:r w:rsidRPr="00680C95">
              <w:rPr>
                <w:rFonts w:cs="Arial"/>
                <w:b/>
                <w:sz w:val="24"/>
                <w:szCs w:val="24"/>
              </w:rPr>
              <w:t>/</w:t>
            </w:r>
            <w:r w:rsidRPr="00CC3258">
              <w:rPr>
                <w:rFonts w:ascii="Arial" w:eastAsia="Times New Roman" w:hAnsi="Arial" w:cs="Arial"/>
                <w:b/>
                <w:sz w:val="24"/>
                <w:szCs w:val="24"/>
                <w:lang w:eastAsia="pt-BR"/>
              </w:rPr>
              <w:t>SEFIS</w:t>
            </w:r>
          </w:p>
        </w:tc>
      </w:tr>
      <w:tr w:rsidR="007068E2" w:rsidRPr="00AF04FB" w:rsidTr="00AD1229">
        <w:trPr>
          <w:cantSplit/>
          <w:trHeight w:val="412"/>
        </w:trPr>
        <w:tc>
          <w:tcPr>
            <w:tcW w:w="4772" w:type="dxa"/>
            <w:vMerge/>
          </w:tcPr>
          <w:p w:rsidR="007068E2" w:rsidRPr="00AF04FB" w:rsidRDefault="007068E2" w:rsidP="00AD1229">
            <w:pPr>
              <w:jc w:val="both"/>
              <w:rPr>
                <w:rFonts w:cs="Arial"/>
                <w:b/>
                <w:i/>
              </w:rPr>
            </w:pPr>
          </w:p>
        </w:tc>
        <w:tc>
          <w:tcPr>
            <w:tcW w:w="4300" w:type="dxa"/>
            <w:vAlign w:val="center"/>
          </w:tcPr>
          <w:p w:rsidR="007068E2" w:rsidRPr="00E36C6D" w:rsidRDefault="0076375F" w:rsidP="00CC3258">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t-BR"/>
              </w:rPr>
            </w:pPr>
            <w:r>
              <w:rPr>
                <w:rFonts w:ascii="Arial" w:eastAsia="Times New Roman" w:hAnsi="Arial" w:cs="Times New Roman"/>
                <w:sz w:val="20"/>
                <w:szCs w:val="20"/>
                <w:lang w:eastAsia="pt-BR"/>
              </w:rPr>
              <w:t>Janeiro de 2015</w:t>
            </w:r>
          </w:p>
        </w:tc>
      </w:tr>
    </w:tbl>
    <w:p w:rsidR="007068E2" w:rsidRDefault="007068E2"/>
    <w:p w:rsidR="004817DD" w:rsidRPr="004817DD" w:rsidRDefault="004817DD" w:rsidP="004817DD">
      <w:pPr>
        <w:widowControl w:val="0"/>
        <w:pBdr>
          <w:bottom w:val="single" w:sz="6" w:space="1" w:color="auto"/>
        </w:pBdr>
        <w:tabs>
          <w:tab w:val="num" w:pos="851"/>
        </w:tabs>
        <w:overflowPunct w:val="0"/>
        <w:autoSpaceDE w:val="0"/>
        <w:autoSpaceDN w:val="0"/>
        <w:adjustRightInd w:val="0"/>
        <w:spacing w:after="0" w:line="240" w:lineRule="auto"/>
        <w:ind w:left="851" w:hanging="851"/>
        <w:jc w:val="both"/>
        <w:textAlignment w:val="baseline"/>
        <w:rPr>
          <w:rFonts w:ascii="Arial" w:eastAsia="Times New Roman" w:hAnsi="Arial" w:cs="Times New Roman"/>
          <w:b/>
          <w:sz w:val="32"/>
          <w:szCs w:val="32"/>
          <w:lang w:eastAsia="pt-BR"/>
        </w:rPr>
      </w:pPr>
      <w:r>
        <w:rPr>
          <w:rFonts w:ascii="Arial" w:eastAsia="Times New Roman" w:hAnsi="Arial" w:cs="Times New Roman"/>
          <w:b/>
          <w:sz w:val="32"/>
          <w:szCs w:val="32"/>
          <w:lang w:eastAsia="pt-BR"/>
        </w:rPr>
        <w:t>1 Objetivo</w:t>
      </w:r>
    </w:p>
    <w:p w:rsidR="004817DD" w:rsidRDefault="004817DD" w:rsidP="004817DD">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p>
    <w:p w:rsidR="0015554F" w:rsidRDefault="0015554F" w:rsidP="004817DD">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r w:rsidRPr="004817DD">
        <w:rPr>
          <w:rFonts w:ascii="Arial" w:eastAsia="Times New Roman" w:hAnsi="Arial" w:cs="Arial"/>
          <w:sz w:val="20"/>
          <w:szCs w:val="20"/>
          <w:lang w:eastAsia="pt-BR"/>
        </w:rPr>
        <w:t xml:space="preserve">O objetivo deste caderno é justificar as escolhas e métodos realizados no Projeto Básico 04/2014. É esclarecido eventuais dúvidas que possam surgir para posterior apreciação do projeto pela comissão de licitação, dos controles internos e externos, bem como esclarecimento dos pontos críticos apontados pela </w:t>
      </w:r>
      <w:r w:rsidRPr="00E36C6D">
        <w:rPr>
          <w:rFonts w:ascii="Arial" w:eastAsia="Times New Roman" w:hAnsi="Arial" w:cs="Arial"/>
          <w:b/>
          <w:sz w:val="20"/>
          <w:szCs w:val="20"/>
          <w:lang w:eastAsia="pt-BR"/>
        </w:rPr>
        <w:t>Assessoria Jurídica do Departamento de Polícia Federal em seu Parecer 269/2014</w:t>
      </w:r>
      <w:r w:rsidRPr="004817DD">
        <w:rPr>
          <w:rFonts w:ascii="Arial" w:eastAsia="Times New Roman" w:hAnsi="Arial" w:cs="Arial"/>
          <w:sz w:val="20"/>
          <w:szCs w:val="20"/>
          <w:lang w:eastAsia="pt-BR"/>
        </w:rPr>
        <w:t>.</w:t>
      </w:r>
    </w:p>
    <w:p w:rsidR="004817DD" w:rsidRPr="004817DD" w:rsidRDefault="004817DD" w:rsidP="004817DD">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p>
    <w:p w:rsidR="004817DD" w:rsidRPr="004817DD" w:rsidRDefault="004817DD" w:rsidP="004817DD">
      <w:pPr>
        <w:widowControl w:val="0"/>
        <w:pBdr>
          <w:bottom w:val="single" w:sz="6" w:space="1" w:color="auto"/>
        </w:pBdr>
        <w:tabs>
          <w:tab w:val="num" w:pos="851"/>
        </w:tabs>
        <w:overflowPunct w:val="0"/>
        <w:autoSpaceDE w:val="0"/>
        <w:autoSpaceDN w:val="0"/>
        <w:adjustRightInd w:val="0"/>
        <w:spacing w:after="0" w:line="240" w:lineRule="auto"/>
        <w:ind w:left="851" w:hanging="851"/>
        <w:jc w:val="both"/>
        <w:textAlignment w:val="baseline"/>
        <w:rPr>
          <w:rFonts w:ascii="Arial" w:eastAsia="Times New Roman" w:hAnsi="Arial" w:cs="Times New Roman"/>
          <w:b/>
          <w:sz w:val="32"/>
          <w:szCs w:val="32"/>
          <w:lang w:eastAsia="pt-BR"/>
        </w:rPr>
      </w:pPr>
      <w:r>
        <w:rPr>
          <w:rFonts w:ascii="Arial" w:eastAsia="Times New Roman" w:hAnsi="Arial" w:cs="Times New Roman"/>
          <w:b/>
          <w:sz w:val="32"/>
          <w:szCs w:val="32"/>
          <w:lang w:eastAsia="pt-BR"/>
        </w:rPr>
        <w:t>2 Objeto</w:t>
      </w:r>
    </w:p>
    <w:p w:rsidR="004817DD" w:rsidRDefault="004817DD" w:rsidP="004817DD">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p>
    <w:p w:rsidR="0015554F" w:rsidRDefault="004817DD" w:rsidP="004817DD">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r w:rsidRPr="004817DD">
        <w:rPr>
          <w:rFonts w:ascii="Arial" w:eastAsia="Times New Roman" w:hAnsi="Arial" w:cs="Arial"/>
          <w:sz w:val="20"/>
          <w:szCs w:val="20"/>
          <w:lang w:eastAsia="pt-BR"/>
        </w:rPr>
        <w:t>Projeto básico, executivo, legal e documentos e orçamentos para a construção, ampliação e/ou reforma do sistema elétrico em energia primária de distribuição das edificações do Complexo do Departamento de Polícia Federal localizados no Setor Policial Sul.</w:t>
      </w:r>
    </w:p>
    <w:p w:rsidR="004817DD" w:rsidRPr="004817DD" w:rsidRDefault="004817DD" w:rsidP="004817DD">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p>
    <w:p w:rsidR="004817DD" w:rsidRPr="004817DD" w:rsidRDefault="004817DD" w:rsidP="004817DD">
      <w:pPr>
        <w:widowControl w:val="0"/>
        <w:pBdr>
          <w:bottom w:val="single" w:sz="6" w:space="1" w:color="auto"/>
        </w:pBdr>
        <w:tabs>
          <w:tab w:val="num" w:pos="851"/>
        </w:tabs>
        <w:overflowPunct w:val="0"/>
        <w:autoSpaceDE w:val="0"/>
        <w:autoSpaceDN w:val="0"/>
        <w:adjustRightInd w:val="0"/>
        <w:spacing w:after="0" w:line="240" w:lineRule="auto"/>
        <w:ind w:left="851" w:hanging="851"/>
        <w:jc w:val="both"/>
        <w:textAlignment w:val="baseline"/>
        <w:rPr>
          <w:rFonts w:ascii="Arial" w:eastAsia="Times New Roman" w:hAnsi="Arial" w:cs="Times New Roman"/>
          <w:b/>
          <w:sz w:val="32"/>
          <w:szCs w:val="32"/>
          <w:lang w:eastAsia="pt-BR"/>
        </w:rPr>
      </w:pPr>
      <w:r w:rsidRPr="004817DD">
        <w:rPr>
          <w:rFonts w:ascii="Arial" w:eastAsia="Times New Roman" w:hAnsi="Arial" w:cs="Times New Roman"/>
          <w:b/>
          <w:sz w:val="32"/>
          <w:szCs w:val="32"/>
          <w:lang w:eastAsia="pt-BR"/>
        </w:rPr>
        <w:t>3 Justificativas</w:t>
      </w:r>
    </w:p>
    <w:p w:rsidR="004817DD" w:rsidRDefault="004817DD"/>
    <w:p w:rsidR="00CB4478" w:rsidRPr="004817DD" w:rsidRDefault="004817DD" w:rsidP="004817DD">
      <w:pPr>
        <w:widowControl w:val="0"/>
        <w:overflowPunct w:val="0"/>
        <w:autoSpaceDE w:val="0"/>
        <w:autoSpaceDN w:val="0"/>
        <w:adjustRightInd w:val="0"/>
        <w:spacing w:after="0" w:line="240" w:lineRule="auto"/>
        <w:ind w:left="851" w:hanging="851"/>
        <w:jc w:val="both"/>
        <w:textAlignment w:val="baseline"/>
        <w:rPr>
          <w:rFonts w:ascii="Arial" w:eastAsia="Times New Roman" w:hAnsi="Arial" w:cs="Times New Roman"/>
          <w:b/>
          <w:sz w:val="24"/>
          <w:szCs w:val="20"/>
          <w:lang w:eastAsia="pt-BR"/>
        </w:rPr>
      </w:pPr>
      <w:r w:rsidRPr="004817DD">
        <w:rPr>
          <w:rFonts w:ascii="Arial" w:eastAsia="Times New Roman" w:hAnsi="Arial" w:cs="Times New Roman"/>
          <w:b/>
          <w:sz w:val="24"/>
          <w:szCs w:val="20"/>
          <w:lang w:eastAsia="pt-BR"/>
        </w:rPr>
        <w:t xml:space="preserve">3.1 </w:t>
      </w:r>
      <w:r w:rsidR="00CB4478" w:rsidRPr="004817DD">
        <w:rPr>
          <w:rFonts w:ascii="Arial" w:eastAsia="Times New Roman" w:hAnsi="Arial" w:cs="Times New Roman"/>
          <w:b/>
          <w:sz w:val="24"/>
          <w:szCs w:val="20"/>
          <w:lang w:eastAsia="pt-BR"/>
        </w:rPr>
        <w:t>Obra ou serviço de engenharia</w:t>
      </w:r>
    </w:p>
    <w:p w:rsidR="004817DD" w:rsidRDefault="004817DD" w:rsidP="004817DD">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p>
    <w:p w:rsidR="00CB4478" w:rsidRDefault="00CB4478" w:rsidP="004817DD">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r w:rsidRPr="004817DD">
        <w:rPr>
          <w:rFonts w:ascii="Arial" w:eastAsia="Times New Roman" w:hAnsi="Arial" w:cs="Arial"/>
          <w:sz w:val="20"/>
          <w:szCs w:val="20"/>
          <w:lang w:eastAsia="pt-BR"/>
        </w:rPr>
        <w:t xml:space="preserve">A confecção de projetos básicos e executivos em questão não se caracteriza como obra de engenharia devido à ausência de tangibilidade e materialidade do mesmo, de acordo com o entendimento de Lucas Rocha Furtado.  Não será criado nenhum aspecto material visualmente novo com a realização deste serviço, pelo menos, diretamente. Portanto, fica caracterizado o objeto como </w:t>
      </w:r>
      <w:r w:rsidRPr="00615DCC">
        <w:rPr>
          <w:rFonts w:ascii="Arial" w:eastAsia="Times New Roman" w:hAnsi="Arial" w:cs="Arial"/>
          <w:b/>
          <w:sz w:val="20"/>
          <w:szCs w:val="20"/>
          <w:lang w:eastAsia="pt-BR"/>
        </w:rPr>
        <w:t>serviço de engenharia</w:t>
      </w:r>
      <w:r w:rsidRPr="004817DD">
        <w:rPr>
          <w:rFonts w:ascii="Arial" w:eastAsia="Times New Roman" w:hAnsi="Arial" w:cs="Arial"/>
          <w:sz w:val="20"/>
          <w:szCs w:val="20"/>
          <w:lang w:eastAsia="pt-BR"/>
        </w:rPr>
        <w:t xml:space="preserve"> para os devidos fins</w:t>
      </w:r>
      <w:r w:rsidR="00E36C6D">
        <w:rPr>
          <w:rFonts w:ascii="Arial" w:eastAsia="Times New Roman" w:hAnsi="Arial" w:cs="Arial"/>
          <w:sz w:val="20"/>
          <w:szCs w:val="20"/>
          <w:lang w:eastAsia="pt-BR"/>
        </w:rPr>
        <w:t xml:space="preserve">, mais precisamente como </w:t>
      </w:r>
      <w:r w:rsidR="00E36C6D" w:rsidRPr="00615DCC">
        <w:rPr>
          <w:rFonts w:ascii="Arial" w:eastAsia="Times New Roman" w:hAnsi="Arial" w:cs="Arial"/>
          <w:b/>
          <w:sz w:val="20"/>
          <w:szCs w:val="20"/>
          <w:lang w:eastAsia="pt-BR"/>
        </w:rPr>
        <w:t>serviço técnico profissional</w:t>
      </w:r>
      <w:r w:rsidR="00615DCC" w:rsidRPr="00615DCC">
        <w:rPr>
          <w:rFonts w:ascii="Arial" w:eastAsia="Times New Roman" w:hAnsi="Arial" w:cs="Arial"/>
          <w:b/>
          <w:sz w:val="20"/>
          <w:szCs w:val="20"/>
          <w:lang w:eastAsia="pt-BR"/>
        </w:rPr>
        <w:t xml:space="preserve"> especializado</w:t>
      </w:r>
      <w:r w:rsidR="00E36C6D">
        <w:rPr>
          <w:rFonts w:ascii="Arial" w:eastAsia="Times New Roman" w:hAnsi="Arial" w:cs="Arial"/>
          <w:sz w:val="20"/>
          <w:szCs w:val="20"/>
          <w:lang w:eastAsia="pt-BR"/>
        </w:rPr>
        <w:t xml:space="preserve"> (art. 13, inciso I, lei 8.666/93)</w:t>
      </w:r>
      <w:r w:rsidRPr="004817DD">
        <w:rPr>
          <w:rFonts w:ascii="Arial" w:eastAsia="Times New Roman" w:hAnsi="Arial" w:cs="Arial"/>
          <w:sz w:val="20"/>
          <w:szCs w:val="20"/>
          <w:lang w:eastAsia="pt-BR"/>
        </w:rPr>
        <w:t xml:space="preserve">. É necessário salientar que o serviço em questão </w:t>
      </w:r>
      <w:r w:rsidRPr="00615DCC">
        <w:rPr>
          <w:rFonts w:ascii="Arial" w:eastAsia="Times New Roman" w:hAnsi="Arial" w:cs="Arial"/>
          <w:b/>
          <w:sz w:val="20"/>
          <w:szCs w:val="20"/>
          <w:lang w:eastAsia="pt-BR"/>
        </w:rPr>
        <w:t>não é considerado como comum de engenharia</w:t>
      </w:r>
      <w:r w:rsidRPr="004817DD">
        <w:rPr>
          <w:rFonts w:ascii="Arial" w:eastAsia="Times New Roman" w:hAnsi="Arial" w:cs="Arial"/>
          <w:sz w:val="20"/>
          <w:szCs w:val="20"/>
          <w:lang w:eastAsia="pt-BR"/>
        </w:rPr>
        <w:t xml:space="preserve"> haja vista a necessidade de complexidade executiva e a necessidade de Anotação de Responsabilidade Técnica dos profissionais responsáveis pelo projeto, conforme entendimento do CONFEA (PL 2467/2012).</w:t>
      </w:r>
      <w:r w:rsidR="00D42162" w:rsidRPr="004817DD">
        <w:rPr>
          <w:rFonts w:ascii="Arial" w:eastAsia="Times New Roman" w:hAnsi="Arial" w:cs="Arial"/>
          <w:sz w:val="20"/>
          <w:szCs w:val="20"/>
          <w:lang w:eastAsia="pt-BR"/>
        </w:rPr>
        <w:t xml:space="preserve"> Portanto </w:t>
      </w:r>
      <w:r w:rsidR="00D42162" w:rsidRPr="00615DCC">
        <w:rPr>
          <w:rFonts w:ascii="Arial" w:eastAsia="Times New Roman" w:hAnsi="Arial" w:cs="Arial"/>
          <w:b/>
          <w:sz w:val="20"/>
          <w:szCs w:val="20"/>
          <w:lang w:eastAsia="pt-BR"/>
        </w:rPr>
        <w:t>não parece ser adequado a utilização de pregão</w:t>
      </w:r>
      <w:r w:rsidR="00D42162" w:rsidRPr="004817DD">
        <w:rPr>
          <w:rFonts w:ascii="Arial" w:eastAsia="Times New Roman" w:hAnsi="Arial" w:cs="Arial"/>
          <w:sz w:val="20"/>
          <w:szCs w:val="20"/>
          <w:lang w:eastAsia="pt-BR"/>
        </w:rPr>
        <w:t>, como modalidade de licitação, neste tipo de serviço.</w:t>
      </w:r>
    </w:p>
    <w:p w:rsidR="004817DD" w:rsidRPr="004817DD" w:rsidRDefault="004817DD" w:rsidP="004817DD">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p>
    <w:p w:rsidR="004817DD" w:rsidRPr="004817DD" w:rsidRDefault="004817DD" w:rsidP="004817DD">
      <w:pPr>
        <w:widowControl w:val="0"/>
        <w:overflowPunct w:val="0"/>
        <w:autoSpaceDE w:val="0"/>
        <w:autoSpaceDN w:val="0"/>
        <w:adjustRightInd w:val="0"/>
        <w:spacing w:after="0" w:line="240" w:lineRule="auto"/>
        <w:ind w:left="851" w:hanging="851"/>
        <w:jc w:val="both"/>
        <w:textAlignment w:val="baseline"/>
        <w:rPr>
          <w:rFonts w:ascii="Arial" w:eastAsia="Times New Roman" w:hAnsi="Arial" w:cs="Times New Roman"/>
          <w:b/>
          <w:sz w:val="24"/>
          <w:szCs w:val="20"/>
          <w:lang w:eastAsia="pt-BR"/>
        </w:rPr>
      </w:pPr>
      <w:r w:rsidRPr="004817DD">
        <w:rPr>
          <w:rFonts w:ascii="Arial" w:eastAsia="Times New Roman" w:hAnsi="Arial" w:cs="Times New Roman"/>
          <w:b/>
          <w:sz w:val="24"/>
          <w:szCs w:val="20"/>
          <w:lang w:eastAsia="pt-BR"/>
        </w:rPr>
        <w:t xml:space="preserve">3.2 </w:t>
      </w:r>
      <w:r w:rsidR="00DE55AB" w:rsidRPr="004817DD">
        <w:rPr>
          <w:rFonts w:ascii="Arial" w:eastAsia="Times New Roman" w:hAnsi="Arial" w:cs="Times New Roman"/>
          <w:b/>
          <w:sz w:val="24"/>
          <w:szCs w:val="20"/>
          <w:lang w:eastAsia="pt-BR"/>
        </w:rPr>
        <w:t>Parcelamento do Objeto</w:t>
      </w:r>
    </w:p>
    <w:p w:rsidR="004817DD" w:rsidRDefault="004817DD" w:rsidP="004817DD">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p>
    <w:p w:rsidR="0002256C" w:rsidRDefault="00DE55AB" w:rsidP="004817DD">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r w:rsidRPr="004817DD">
        <w:rPr>
          <w:rFonts w:ascii="Arial" w:eastAsia="Times New Roman" w:hAnsi="Arial" w:cs="Arial"/>
          <w:sz w:val="20"/>
          <w:szCs w:val="20"/>
          <w:lang w:eastAsia="pt-BR"/>
        </w:rPr>
        <w:t xml:space="preserve">O parcelamento do objeto em questão traria inviabilidade econômica para a Administração, uma vez </w:t>
      </w:r>
      <w:r w:rsidR="0002256C" w:rsidRPr="004817DD">
        <w:rPr>
          <w:rFonts w:ascii="Arial" w:eastAsia="Times New Roman" w:hAnsi="Arial" w:cs="Arial"/>
          <w:sz w:val="20"/>
          <w:szCs w:val="20"/>
          <w:lang w:eastAsia="pt-BR"/>
        </w:rPr>
        <w:t>que as etapas dos projetos possuem conteúdos que se relacionam entre si. O parcelamento acarretaria em aumento de trabalho, pois os executores das últimas etapas teriam que analisar tudo que foi feito anteriormente.</w:t>
      </w:r>
    </w:p>
    <w:p w:rsidR="004817DD" w:rsidRPr="004817DD" w:rsidRDefault="004817DD" w:rsidP="004817DD">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p>
    <w:p w:rsidR="0002256C" w:rsidRPr="004817DD" w:rsidRDefault="004817DD" w:rsidP="004817DD">
      <w:pPr>
        <w:widowControl w:val="0"/>
        <w:overflowPunct w:val="0"/>
        <w:autoSpaceDE w:val="0"/>
        <w:autoSpaceDN w:val="0"/>
        <w:adjustRightInd w:val="0"/>
        <w:spacing w:after="0" w:line="240" w:lineRule="auto"/>
        <w:ind w:left="851" w:hanging="851"/>
        <w:jc w:val="both"/>
        <w:textAlignment w:val="baseline"/>
        <w:rPr>
          <w:rFonts w:ascii="Arial" w:eastAsia="Times New Roman" w:hAnsi="Arial" w:cs="Times New Roman"/>
          <w:b/>
          <w:sz w:val="24"/>
          <w:szCs w:val="20"/>
          <w:lang w:eastAsia="pt-BR"/>
        </w:rPr>
      </w:pPr>
      <w:r w:rsidRPr="004817DD">
        <w:rPr>
          <w:rFonts w:ascii="Arial" w:eastAsia="Times New Roman" w:hAnsi="Arial" w:cs="Times New Roman"/>
          <w:b/>
          <w:sz w:val="24"/>
          <w:szCs w:val="20"/>
          <w:lang w:eastAsia="pt-BR"/>
        </w:rPr>
        <w:t xml:space="preserve">3.3 </w:t>
      </w:r>
      <w:r w:rsidR="0002256C" w:rsidRPr="004817DD">
        <w:rPr>
          <w:rFonts w:ascii="Arial" w:eastAsia="Times New Roman" w:hAnsi="Arial" w:cs="Times New Roman"/>
          <w:b/>
          <w:sz w:val="24"/>
          <w:szCs w:val="20"/>
          <w:lang w:eastAsia="pt-BR"/>
        </w:rPr>
        <w:t>Tipo de empreitada</w:t>
      </w:r>
    </w:p>
    <w:p w:rsidR="004817DD" w:rsidRDefault="004817DD" w:rsidP="004817DD">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p>
    <w:p w:rsidR="0002256C" w:rsidRPr="004817DD" w:rsidRDefault="00EF4649" w:rsidP="004817DD">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r w:rsidRPr="004817DD">
        <w:rPr>
          <w:rFonts w:ascii="Arial" w:eastAsia="Times New Roman" w:hAnsi="Arial" w:cs="Arial"/>
          <w:sz w:val="20"/>
          <w:szCs w:val="20"/>
          <w:lang w:eastAsia="pt-BR"/>
        </w:rPr>
        <w:t xml:space="preserve">A empreitada para a contratação do seguinte objeto mais adequada é a </w:t>
      </w:r>
      <w:proofErr w:type="spellStart"/>
      <w:r w:rsidRPr="004817DD">
        <w:rPr>
          <w:rFonts w:ascii="Arial" w:eastAsia="Times New Roman" w:hAnsi="Arial" w:cs="Arial"/>
          <w:sz w:val="20"/>
          <w:szCs w:val="20"/>
          <w:lang w:eastAsia="pt-BR"/>
        </w:rPr>
        <w:t>por</w:t>
      </w:r>
      <w:proofErr w:type="spellEnd"/>
      <w:r w:rsidRPr="004817DD">
        <w:rPr>
          <w:rFonts w:ascii="Arial" w:eastAsia="Times New Roman" w:hAnsi="Arial" w:cs="Arial"/>
          <w:sz w:val="20"/>
          <w:szCs w:val="20"/>
          <w:lang w:eastAsia="pt-BR"/>
        </w:rPr>
        <w:t xml:space="preserve"> preço global, conforme sugestão do acordão 1977/2013 do Tribunal de Contas da União. Este tipo de empreitada possui vantagens como: simplicidade nas medições, menor custo para a fiscalização, valor fixo do contrato, restringe os aditivos, dificulta o jogo de planilha e incentiva o cumprimento dos prazos.</w:t>
      </w:r>
    </w:p>
    <w:p w:rsidR="00EF4649" w:rsidRPr="004817DD" w:rsidRDefault="00EF4649" w:rsidP="004817DD">
      <w:pPr>
        <w:widowControl w:val="0"/>
        <w:overflowPunct w:val="0"/>
        <w:autoSpaceDE w:val="0"/>
        <w:autoSpaceDN w:val="0"/>
        <w:adjustRightInd w:val="0"/>
        <w:spacing w:after="0" w:line="240" w:lineRule="auto"/>
        <w:ind w:left="851" w:hanging="851"/>
        <w:jc w:val="both"/>
        <w:textAlignment w:val="baseline"/>
        <w:rPr>
          <w:rFonts w:ascii="Arial" w:eastAsia="Times New Roman" w:hAnsi="Arial" w:cs="Times New Roman"/>
          <w:b/>
          <w:sz w:val="24"/>
          <w:szCs w:val="20"/>
          <w:lang w:eastAsia="pt-BR"/>
        </w:rPr>
      </w:pPr>
    </w:p>
    <w:p w:rsidR="00EF4649" w:rsidRPr="004817DD" w:rsidRDefault="004817DD" w:rsidP="004817DD">
      <w:pPr>
        <w:widowControl w:val="0"/>
        <w:overflowPunct w:val="0"/>
        <w:autoSpaceDE w:val="0"/>
        <w:autoSpaceDN w:val="0"/>
        <w:adjustRightInd w:val="0"/>
        <w:spacing w:after="0" w:line="240" w:lineRule="auto"/>
        <w:ind w:left="851" w:hanging="851"/>
        <w:jc w:val="both"/>
        <w:textAlignment w:val="baseline"/>
        <w:rPr>
          <w:rFonts w:ascii="Arial" w:eastAsia="Times New Roman" w:hAnsi="Arial" w:cs="Times New Roman"/>
          <w:b/>
          <w:sz w:val="24"/>
          <w:szCs w:val="20"/>
          <w:lang w:eastAsia="pt-BR"/>
        </w:rPr>
      </w:pPr>
      <w:r w:rsidRPr="004817DD">
        <w:rPr>
          <w:rFonts w:ascii="Arial" w:eastAsia="Times New Roman" w:hAnsi="Arial" w:cs="Times New Roman"/>
          <w:b/>
          <w:sz w:val="24"/>
          <w:szCs w:val="20"/>
          <w:lang w:eastAsia="pt-BR"/>
        </w:rPr>
        <w:t xml:space="preserve">3.4 </w:t>
      </w:r>
      <w:r w:rsidR="00EF4649" w:rsidRPr="004817DD">
        <w:rPr>
          <w:rFonts w:ascii="Arial" w:eastAsia="Times New Roman" w:hAnsi="Arial" w:cs="Times New Roman"/>
          <w:b/>
          <w:sz w:val="24"/>
          <w:szCs w:val="20"/>
          <w:lang w:eastAsia="pt-BR"/>
        </w:rPr>
        <w:t>Pesquisa de Preço</w:t>
      </w:r>
    </w:p>
    <w:p w:rsidR="004817DD" w:rsidRDefault="004817DD" w:rsidP="004817DD">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p>
    <w:p w:rsidR="00EF4649" w:rsidRDefault="00EF4649" w:rsidP="004817DD">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r w:rsidRPr="004817DD">
        <w:rPr>
          <w:rFonts w:ascii="Arial" w:eastAsia="Times New Roman" w:hAnsi="Arial" w:cs="Arial"/>
          <w:sz w:val="20"/>
          <w:szCs w:val="20"/>
          <w:lang w:eastAsia="pt-BR"/>
        </w:rPr>
        <w:t>Não foi conseguida pesquisa de preço para a realização dos projetos da reestruturação do setor elétrico do SPS. Foram enviados inúmeros e-mails sem a manifestação de voluntários.</w:t>
      </w:r>
      <w:r w:rsidR="00D42162" w:rsidRPr="004817DD">
        <w:rPr>
          <w:rFonts w:ascii="Arial" w:eastAsia="Times New Roman" w:hAnsi="Arial" w:cs="Arial"/>
          <w:sz w:val="20"/>
          <w:szCs w:val="20"/>
          <w:lang w:eastAsia="pt-BR"/>
        </w:rPr>
        <w:t xml:space="preserve"> É necessário salientar que a forma como foi feita o orçamento do projeto (método da CEF) é um método oficial e bastante utilizado em licitações. O valor orçado é razoável para a execução do serviço, mesmo sabendo que o TCU sugere a pesquisa de preço para aproximar ao valor a realidade.</w:t>
      </w:r>
    </w:p>
    <w:p w:rsidR="004817DD" w:rsidRPr="004817DD" w:rsidRDefault="004817DD" w:rsidP="004817DD">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p>
    <w:p w:rsidR="00EF4649" w:rsidRPr="004817DD" w:rsidRDefault="004817DD" w:rsidP="004817DD">
      <w:pPr>
        <w:widowControl w:val="0"/>
        <w:overflowPunct w:val="0"/>
        <w:autoSpaceDE w:val="0"/>
        <w:autoSpaceDN w:val="0"/>
        <w:adjustRightInd w:val="0"/>
        <w:spacing w:after="0" w:line="240" w:lineRule="auto"/>
        <w:ind w:left="851" w:hanging="851"/>
        <w:jc w:val="both"/>
        <w:textAlignment w:val="baseline"/>
        <w:rPr>
          <w:rFonts w:ascii="Arial" w:eastAsia="Times New Roman" w:hAnsi="Arial" w:cs="Times New Roman"/>
          <w:b/>
          <w:sz w:val="24"/>
          <w:szCs w:val="20"/>
          <w:lang w:eastAsia="pt-BR"/>
        </w:rPr>
      </w:pPr>
      <w:r>
        <w:rPr>
          <w:rFonts w:ascii="Arial" w:eastAsia="Times New Roman" w:hAnsi="Arial" w:cs="Times New Roman"/>
          <w:b/>
          <w:sz w:val="24"/>
          <w:szCs w:val="20"/>
          <w:lang w:eastAsia="pt-BR"/>
        </w:rPr>
        <w:t xml:space="preserve">3.5 </w:t>
      </w:r>
      <w:r w:rsidR="00441A66" w:rsidRPr="004817DD">
        <w:rPr>
          <w:rFonts w:ascii="Arial" w:eastAsia="Times New Roman" w:hAnsi="Arial" w:cs="Times New Roman"/>
          <w:b/>
          <w:sz w:val="24"/>
          <w:szCs w:val="20"/>
          <w:lang w:eastAsia="pt-BR"/>
        </w:rPr>
        <w:t>Licenciamento Ambiental</w:t>
      </w:r>
    </w:p>
    <w:p w:rsidR="004817DD" w:rsidRDefault="004817DD" w:rsidP="004817DD">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p>
    <w:p w:rsidR="00E36C6D" w:rsidRDefault="00441A66" w:rsidP="00F92E2B">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r w:rsidRPr="004817DD">
        <w:rPr>
          <w:rFonts w:ascii="Arial" w:eastAsia="Times New Roman" w:hAnsi="Arial" w:cs="Arial"/>
          <w:sz w:val="20"/>
          <w:szCs w:val="20"/>
          <w:lang w:eastAsia="pt-BR"/>
        </w:rPr>
        <w:t>A necessidade de licenciamento ambiental para a realização da obra deverá ser prevista pela empresa contratada, haja vista que a simples implementação de projetos básicos e executivos não necessita deste tipo de licença.</w:t>
      </w:r>
    </w:p>
    <w:p w:rsidR="00F92E2B" w:rsidRDefault="00F92E2B" w:rsidP="00F92E2B">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p>
    <w:p w:rsidR="00F92E2B" w:rsidRPr="004E5295" w:rsidRDefault="00F92E2B" w:rsidP="004E5295">
      <w:pPr>
        <w:widowControl w:val="0"/>
        <w:overflowPunct w:val="0"/>
        <w:autoSpaceDE w:val="0"/>
        <w:autoSpaceDN w:val="0"/>
        <w:adjustRightInd w:val="0"/>
        <w:spacing w:after="0" w:line="240" w:lineRule="auto"/>
        <w:ind w:left="851" w:hanging="851"/>
        <w:jc w:val="both"/>
        <w:textAlignment w:val="baseline"/>
        <w:rPr>
          <w:rFonts w:ascii="Arial" w:eastAsia="Times New Roman" w:hAnsi="Arial" w:cs="Times New Roman"/>
          <w:b/>
          <w:sz w:val="24"/>
          <w:szCs w:val="20"/>
          <w:lang w:eastAsia="pt-BR"/>
        </w:rPr>
      </w:pPr>
      <w:r w:rsidRPr="004E5295">
        <w:rPr>
          <w:rFonts w:ascii="Arial" w:eastAsia="Times New Roman" w:hAnsi="Arial" w:cs="Times New Roman"/>
          <w:b/>
          <w:sz w:val="24"/>
          <w:szCs w:val="20"/>
          <w:lang w:eastAsia="pt-BR"/>
        </w:rPr>
        <w:t>3.6 Cálculo do BDI</w:t>
      </w:r>
    </w:p>
    <w:p w:rsidR="00F92E2B" w:rsidRDefault="00F92E2B" w:rsidP="00F92E2B">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p>
    <w:p w:rsidR="00F92E2B" w:rsidRDefault="00F92E2B" w:rsidP="00615DCC">
      <w:pPr>
        <w:widowControl w:val="0"/>
        <w:overflowPunct w:val="0"/>
        <w:autoSpaceDE w:val="0"/>
        <w:autoSpaceDN w:val="0"/>
        <w:adjustRightInd w:val="0"/>
        <w:spacing w:after="0" w:line="240" w:lineRule="auto"/>
        <w:ind w:firstLine="708"/>
        <w:jc w:val="both"/>
        <w:textAlignment w:val="baseline"/>
        <w:rPr>
          <w:rFonts w:ascii="Arial" w:eastAsia="Times New Roman" w:hAnsi="Arial" w:cs="Arial"/>
          <w:sz w:val="20"/>
          <w:szCs w:val="20"/>
          <w:lang w:eastAsia="pt-BR"/>
        </w:rPr>
      </w:pPr>
      <w:r>
        <w:rPr>
          <w:rFonts w:ascii="Arial" w:eastAsia="Times New Roman" w:hAnsi="Arial" w:cs="Arial"/>
          <w:sz w:val="20"/>
          <w:szCs w:val="20"/>
          <w:lang w:eastAsia="pt-BR"/>
        </w:rPr>
        <w:t>O cálculo do BDI está explicado no anexo III deste projeto básico. Esclarece que os parâmetros do cálculo do BDI estão de acordo com a variação permitida pelo Acordão 2622/2013 no tipo de obra: Construção e Manutenção de Estação e Redes de Distribuição de Energia Elétrica</w:t>
      </w:r>
      <w:r w:rsidR="004E5295">
        <w:rPr>
          <w:rFonts w:ascii="Arial" w:eastAsia="Times New Roman" w:hAnsi="Arial" w:cs="Arial"/>
          <w:sz w:val="20"/>
          <w:szCs w:val="20"/>
          <w:lang w:eastAsia="pt-BR"/>
        </w:rPr>
        <w:t>. O valor final do BDI também está de acordo com a sugestão do TCU.</w:t>
      </w:r>
    </w:p>
    <w:p w:rsidR="00E36C6D" w:rsidRDefault="00E36C6D" w:rsidP="00E36C6D">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p>
    <w:p w:rsidR="00E36C6D" w:rsidRPr="00B30295" w:rsidRDefault="00615DCC" w:rsidP="00B30295">
      <w:pPr>
        <w:widowControl w:val="0"/>
        <w:overflowPunct w:val="0"/>
        <w:autoSpaceDE w:val="0"/>
        <w:autoSpaceDN w:val="0"/>
        <w:adjustRightInd w:val="0"/>
        <w:spacing w:after="0" w:line="240" w:lineRule="auto"/>
        <w:ind w:left="851" w:hanging="851"/>
        <w:jc w:val="both"/>
        <w:textAlignment w:val="baseline"/>
        <w:rPr>
          <w:rFonts w:ascii="Arial" w:eastAsia="Times New Roman" w:hAnsi="Arial" w:cs="Times New Roman"/>
          <w:b/>
          <w:sz w:val="24"/>
          <w:szCs w:val="20"/>
          <w:lang w:eastAsia="pt-BR"/>
        </w:rPr>
      </w:pPr>
      <w:r w:rsidRPr="00B30295">
        <w:rPr>
          <w:rFonts w:ascii="Arial" w:eastAsia="Times New Roman" w:hAnsi="Arial" w:cs="Times New Roman"/>
          <w:b/>
          <w:sz w:val="24"/>
          <w:szCs w:val="20"/>
          <w:lang w:eastAsia="pt-BR"/>
        </w:rPr>
        <w:t>3.7 Responsabilidade do Licitantes</w:t>
      </w:r>
    </w:p>
    <w:p w:rsidR="00615DCC" w:rsidRDefault="00615DCC" w:rsidP="00E36C6D">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p>
    <w:p w:rsidR="00615DCC" w:rsidRDefault="00615DCC" w:rsidP="00B30295">
      <w:pPr>
        <w:widowControl w:val="0"/>
        <w:overflowPunct w:val="0"/>
        <w:autoSpaceDE w:val="0"/>
        <w:autoSpaceDN w:val="0"/>
        <w:adjustRightInd w:val="0"/>
        <w:spacing w:after="0" w:line="240" w:lineRule="auto"/>
        <w:ind w:firstLine="708"/>
        <w:jc w:val="both"/>
        <w:textAlignment w:val="baseline"/>
        <w:rPr>
          <w:rFonts w:ascii="Arial" w:eastAsia="Times New Roman" w:hAnsi="Arial" w:cs="Arial"/>
          <w:sz w:val="20"/>
          <w:szCs w:val="20"/>
          <w:lang w:eastAsia="pt-BR"/>
        </w:rPr>
      </w:pPr>
      <w:r>
        <w:rPr>
          <w:rFonts w:ascii="Arial" w:eastAsia="Times New Roman" w:hAnsi="Arial" w:cs="Arial"/>
          <w:sz w:val="20"/>
          <w:szCs w:val="20"/>
          <w:lang w:eastAsia="pt-BR"/>
        </w:rPr>
        <w:t>Foram feitos questionamentos a respeito da responsabilidades dos licitantes para a participação da licitação. Relativo a necessidade do profissional pertencer ao quadro da empresa</w:t>
      </w:r>
      <w:r w:rsidR="00B30295">
        <w:rPr>
          <w:rFonts w:ascii="Arial" w:eastAsia="Times New Roman" w:hAnsi="Arial" w:cs="Arial"/>
          <w:sz w:val="20"/>
          <w:szCs w:val="20"/>
          <w:lang w:eastAsia="pt-BR"/>
        </w:rPr>
        <w:t xml:space="preserve"> (folha 247)</w:t>
      </w:r>
      <w:r>
        <w:rPr>
          <w:rFonts w:ascii="Arial" w:eastAsia="Times New Roman" w:hAnsi="Arial" w:cs="Arial"/>
          <w:sz w:val="20"/>
          <w:szCs w:val="20"/>
          <w:lang w:eastAsia="pt-BR"/>
        </w:rPr>
        <w:t xml:space="preserve">, é viável que pelo menos o engenheiro eletricista pertença ao quadro da empresa, caso contrário qualquer empresa poderá competir no certame, mesmo que não trabalhe com redes de distribuição de energia. Os demais profissionais só necessitam de ter ao algum </w:t>
      </w:r>
      <w:r w:rsidR="00B30295">
        <w:rPr>
          <w:rFonts w:ascii="Arial" w:eastAsia="Times New Roman" w:hAnsi="Arial" w:cs="Arial"/>
          <w:sz w:val="20"/>
          <w:szCs w:val="20"/>
          <w:lang w:eastAsia="pt-BR"/>
        </w:rPr>
        <w:t>vínculo com a empresa. As instalações elétricas são o requisito final deste certame e não o requisito meio, portanto é mais coerente para a Administração escolher um licitante que tenha experiência neste tipo de projeto.</w:t>
      </w:r>
    </w:p>
    <w:p w:rsidR="007000BA" w:rsidRDefault="00B30295" w:rsidP="00B30295">
      <w:pPr>
        <w:widowControl w:val="0"/>
        <w:overflowPunct w:val="0"/>
        <w:autoSpaceDE w:val="0"/>
        <w:autoSpaceDN w:val="0"/>
        <w:adjustRightInd w:val="0"/>
        <w:spacing w:after="0" w:line="240" w:lineRule="auto"/>
        <w:ind w:firstLine="708"/>
        <w:jc w:val="both"/>
        <w:textAlignment w:val="baseline"/>
        <w:rPr>
          <w:rFonts w:ascii="Arial" w:eastAsia="Times New Roman" w:hAnsi="Arial" w:cs="Arial"/>
          <w:sz w:val="20"/>
          <w:szCs w:val="20"/>
          <w:lang w:eastAsia="pt-BR"/>
        </w:rPr>
      </w:pPr>
      <w:r>
        <w:rPr>
          <w:rFonts w:ascii="Arial" w:eastAsia="Times New Roman" w:hAnsi="Arial" w:cs="Arial"/>
          <w:sz w:val="20"/>
          <w:szCs w:val="20"/>
          <w:lang w:eastAsia="pt-BR"/>
        </w:rPr>
        <w:t>Quanto à capacidade técnico operacional (folha 247, item 3), basta que o profissional tenha experiência com tensão primária de distribuição e com alimentação de várias edificações, não sendo necessário um valor mínimo de corrente e tensão para não frustrar o caráter competitivo do certame.</w:t>
      </w:r>
    </w:p>
    <w:p w:rsidR="00B30295" w:rsidRDefault="00B30295" w:rsidP="00B30295">
      <w:pPr>
        <w:widowControl w:val="0"/>
        <w:overflowPunct w:val="0"/>
        <w:autoSpaceDE w:val="0"/>
        <w:autoSpaceDN w:val="0"/>
        <w:adjustRightInd w:val="0"/>
        <w:spacing w:after="0" w:line="240" w:lineRule="auto"/>
        <w:ind w:firstLine="708"/>
        <w:jc w:val="both"/>
        <w:textAlignment w:val="baseline"/>
        <w:rPr>
          <w:rFonts w:ascii="Arial" w:eastAsia="Times New Roman" w:hAnsi="Arial" w:cs="Arial"/>
          <w:sz w:val="20"/>
          <w:szCs w:val="20"/>
          <w:lang w:eastAsia="pt-BR"/>
        </w:rPr>
      </w:pPr>
      <w:r>
        <w:rPr>
          <w:rFonts w:ascii="Arial" w:eastAsia="Times New Roman" w:hAnsi="Arial" w:cs="Arial"/>
          <w:sz w:val="20"/>
          <w:szCs w:val="20"/>
          <w:lang w:eastAsia="pt-BR"/>
        </w:rPr>
        <w:t>Seria razoável colocar um valor mínimo de 13,8 kV de tensão, uma vez que esta é a tensão de alimentação utilizado pela CEB em média tensão, no entanto outras companhias elétricas podem utilizar níveis menores de tensão, já que a A</w:t>
      </w:r>
      <w:r w:rsidR="007000BA">
        <w:rPr>
          <w:rFonts w:ascii="Arial" w:eastAsia="Times New Roman" w:hAnsi="Arial" w:cs="Arial"/>
          <w:sz w:val="20"/>
          <w:szCs w:val="20"/>
          <w:lang w:eastAsia="pt-BR"/>
        </w:rPr>
        <w:t>NEEL considera que tensões acima</w:t>
      </w:r>
      <w:r>
        <w:rPr>
          <w:rFonts w:ascii="Arial" w:eastAsia="Times New Roman" w:hAnsi="Arial" w:cs="Arial"/>
          <w:sz w:val="20"/>
          <w:szCs w:val="20"/>
          <w:lang w:eastAsia="pt-BR"/>
        </w:rPr>
        <w:t xml:space="preserve"> de 1 kV já são consideradas como média tensão.</w:t>
      </w:r>
      <w:r w:rsidR="007000BA">
        <w:rPr>
          <w:rFonts w:ascii="Arial" w:eastAsia="Times New Roman" w:hAnsi="Arial" w:cs="Arial"/>
          <w:sz w:val="20"/>
          <w:szCs w:val="20"/>
          <w:lang w:eastAsia="pt-BR"/>
        </w:rPr>
        <w:t xml:space="preserve"> Isto poderia prejudicar a competição de empresas experientes em outros estados.</w:t>
      </w:r>
    </w:p>
    <w:p w:rsidR="007000BA" w:rsidRDefault="007000BA" w:rsidP="00B30295">
      <w:pPr>
        <w:widowControl w:val="0"/>
        <w:overflowPunct w:val="0"/>
        <w:autoSpaceDE w:val="0"/>
        <w:autoSpaceDN w:val="0"/>
        <w:adjustRightInd w:val="0"/>
        <w:spacing w:after="0" w:line="240" w:lineRule="auto"/>
        <w:ind w:firstLine="708"/>
        <w:jc w:val="both"/>
        <w:textAlignment w:val="baseline"/>
        <w:rPr>
          <w:rFonts w:ascii="Arial" w:eastAsia="Times New Roman" w:hAnsi="Arial" w:cs="Arial"/>
          <w:sz w:val="20"/>
          <w:szCs w:val="20"/>
          <w:lang w:eastAsia="pt-BR"/>
        </w:rPr>
      </w:pPr>
      <w:r>
        <w:rPr>
          <w:rFonts w:ascii="Arial" w:eastAsia="Times New Roman" w:hAnsi="Arial" w:cs="Arial"/>
          <w:sz w:val="20"/>
          <w:szCs w:val="20"/>
          <w:lang w:eastAsia="pt-BR"/>
        </w:rPr>
        <w:t>A alimentação de várias edificações é importante, pois a rede de distribuição possui não apenas uma subestação, mas várias, inclusive uma, no mínimo, em cada edificação.</w:t>
      </w:r>
    </w:p>
    <w:p w:rsidR="007000BA" w:rsidRDefault="007000BA" w:rsidP="00B30295">
      <w:pPr>
        <w:widowControl w:val="0"/>
        <w:overflowPunct w:val="0"/>
        <w:autoSpaceDE w:val="0"/>
        <w:autoSpaceDN w:val="0"/>
        <w:adjustRightInd w:val="0"/>
        <w:spacing w:after="0" w:line="240" w:lineRule="auto"/>
        <w:ind w:firstLine="708"/>
        <w:jc w:val="both"/>
        <w:textAlignment w:val="baseline"/>
        <w:rPr>
          <w:rFonts w:ascii="Arial" w:eastAsia="Times New Roman" w:hAnsi="Arial" w:cs="Arial"/>
          <w:sz w:val="20"/>
          <w:szCs w:val="20"/>
          <w:lang w:eastAsia="pt-BR"/>
        </w:rPr>
      </w:pPr>
      <w:r>
        <w:rPr>
          <w:rFonts w:ascii="Arial" w:eastAsia="Times New Roman" w:hAnsi="Arial" w:cs="Arial"/>
          <w:sz w:val="20"/>
          <w:szCs w:val="20"/>
          <w:lang w:eastAsia="pt-BR"/>
        </w:rPr>
        <w:lastRenderedPageBreak/>
        <w:tab/>
        <w:t>Experiência com redes de distribuição de energia de elétrica em tensão primária de distribuição também supre os requisitos básicos do procedimento licitatório, pois “quem pode mais pode menos”.</w:t>
      </w:r>
    </w:p>
    <w:p w:rsidR="00E36C6D" w:rsidRDefault="00E36C6D" w:rsidP="00E36C6D">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p>
    <w:p w:rsidR="00E36C6D" w:rsidRDefault="00E36C6D" w:rsidP="00E36C6D">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p>
    <w:p w:rsidR="00E36C6D" w:rsidRDefault="00E36C6D" w:rsidP="00E36C6D">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p>
    <w:p w:rsidR="00E36C6D" w:rsidRDefault="00E36C6D" w:rsidP="00E36C6D">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p>
    <w:p w:rsidR="00E36C6D" w:rsidRDefault="00E36C6D" w:rsidP="00E36C6D">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p>
    <w:p w:rsidR="00E36C6D" w:rsidRDefault="00E36C6D" w:rsidP="00E36C6D">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p>
    <w:p w:rsidR="007000BA" w:rsidRDefault="007000BA" w:rsidP="00E36C6D">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p>
    <w:p w:rsidR="007000BA" w:rsidRDefault="007000BA" w:rsidP="00E36C6D">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p>
    <w:p w:rsidR="00E36C6D" w:rsidRDefault="00E36C6D" w:rsidP="00E36C6D">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p>
    <w:p w:rsidR="00E36C6D" w:rsidRDefault="00E36C6D" w:rsidP="00E36C6D">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p>
    <w:p w:rsidR="00E36C6D" w:rsidRPr="00E36C6D" w:rsidRDefault="00E36C6D" w:rsidP="00E36C6D">
      <w:pPr>
        <w:overflowPunct w:val="0"/>
        <w:autoSpaceDE w:val="0"/>
        <w:autoSpaceDN w:val="0"/>
        <w:adjustRightInd w:val="0"/>
        <w:spacing w:after="0" w:line="240" w:lineRule="auto"/>
        <w:jc w:val="center"/>
        <w:textAlignment w:val="baseline"/>
        <w:rPr>
          <w:rFonts w:ascii="Arial" w:eastAsia="Times New Roman" w:hAnsi="Arial" w:cs="Times New Roman"/>
          <w:b/>
          <w:sz w:val="20"/>
          <w:szCs w:val="20"/>
          <w:lang w:eastAsia="pt-BR"/>
        </w:rPr>
      </w:pPr>
      <w:r w:rsidRPr="00E36C6D">
        <w:rPr>
          <w:rFonts w:ascii="Arial" w:eastAsia="Times New Roman" w:hAnsi="Arial" w:cs="Times New Roman"/>
          <w:b/>
          <w:sz w:val="20"/>
          <w:szCs w:val="20"/>
          <w:lang w:eastAsia="pt-BR"/>
        </w:rPr>
        <w:t>CELSO GARCIA DE OLIVEIRA</w:t>
      </w:r>
    </w:p>
    <w:p w:rsidR="00E36C6D" w:rsidRPr="00E36C6D" w:rsidRDefault="00E36C6D" w:rsidP="00E36C6D">
      <w:pPr>
        <w:overflowPunct w:val="0"/>
        <w:autoSpaceDE w:val="0"/>
        <w:autoSpaceDN w:val="0"/>
        <w:adjustRightInd w:val="0"/>
        <w:spacing w:after="0" w:line="240" w:lineRule="auto"/>
        <w:jc w:val="center"/>
        <w:textAlignment w:val="baseline"/>
        <w:rPr>
          <w:rFonts w:ascii="Arial" w:eastAsia="Times New Roman" w:hAnsi="Arial" w:cs="Times New Roman"/>
          <w:i/>
          <w:sz w:val="20"/>
          <w:szCs w:val="20"/>
          <w:lang w:eastAsia="pt-BR"/>
        </w:rPr>
      </w:pPr>
      <w:r w:rsidRPr="00E36C6D">
        <w:rPr>
          <w:rFonts w:ascii="Arial" w:eastAsia="Times New Roman" w:hAnsi="Arial" w:cs="Times New Roman"/>
          <w:i/>
          <w:sz w:val="20"/>
          <w:szCs w:val="20"/>
          <w:lang w:eastAsia="pt-BR"/>
        </w:rPr>
        <w:t>Engenheiro Eletricista</w:t>
      </w:r>
    </w:p>
    <w:p w:rsidR="00E36C6D" w:rsidRPr="00E36C6D" w:rsidRDefault="00E36C6D" w:rsidP="00E36C6D">
      <w:pPr>
        <w:overflowPunct w:val="0"/>
        <w:autoSpaceDE w:val="0"/>
        <w:autoSpaceDN w:val="0"/>
        <w:adjustRightInd w:val="0"/>
        <w:spacing w:after="0" w:line="240" w:lineRule="auto"/>
        <w:jc w:val="center"/>
        <w:textAlignment w:val="baseline"/>
        <w:rPr>
          <w:rFonts w:ascii="Arial" w:eastAsia="Times New Roman" w:hAnsi="Arial" w:cs="Times New Roman"/>
          <w:i/>
          <w:sz w:val="20"/>
          <w:szCs w:val="20"/>
          <w:lang w:eastAsia="pt-BR"/>
        </w:rPr>
      </w:pPr>
      <w:r w:rsidRPr="00E36C6D">
        <w:rPr>
          <w:rFonts w:ascii="Arial" w:eastAsia="Times New Roman" w:hAnsi="Arial" w:cs="Times New Roman"/>
          <w:i/>
          <w:sz w:val="20"/>
          <w:szCs w:val="20"/>
          <w:lang w:eastAsia="pt-BR"/>
        </w:rPr>
        <w:t>Matrícula 20007</w:t>
      </w:r>
    </w:p>
    <w:sectPr w:rsidR="00E36C6D" w:rsidRPr="00E36C6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478"/>
    <w:rsid w:val="0002256C"/>
    <w:rsid w:val="0015554F"/>
    <w:rsid w:val="00363B2A"/>
    <w:rsid w:val="00441A66"/>
    <w:rsid w:val="004817DD"/>
    <w:rsid w:val="004E5295"/>
    <w:rsid w:val="00615DCC"/>
    <w:rsid w:val="006A5B45"/>
    <w:rsid w:val="007000BA"/>
    <w:rsid w:val="007068E2"/>
    <w:rsid w:val="0076375F"/>
    <w:rsid w:val="00B30295"/>
    <w:rsid w:val="00C50FFB"/>
    <w:rsid w:val="00CB4478"/>
    <w:rsid w:val="00CC3258"/>
    <w:rsid w:val="00D42162"/>
    <w:rsid w:val="00DE55AB"/>
    <w:rsid w:val="00E36C6D"/>
    <w:rsid w:val="00EF4649"/>
    <w:rsid w:val="00F92E2B"/>
  </w:rsids>
  <m:mathPr>
    <m:mathFont m:val="Cambria Math"/>
    <m:brkBin m:val="before"/>
    <m:brkBinSub m:val="--"/>
    <m:smallFrac m:val="0"/>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B2B551-0274-4F4F-BE1E-E25CA8F16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15554F"/>
    <w:pPr>
      <w:tabs>
        <w:tab w:val="center" w:pos="4419"/>
        <w:tab w:val="right" w:pos="8838"/>
      </w:tabs>
      <w:overflowPunct w:val="0"/>
      <w:autoSpaceDE w:val="0"/>
      <w:autoSpaceDN w:val="0"/>
      <w:adjustRightInd w:val="0"/>
      <w:spacing w:after="0" w:line="240" w:lineRule="auto"/>
      <w:textAlignment w:val="baseline"/>
    </w:pPr>
    <w:rPr>
      <w:rFonts w:ascii="Arial" w:eastAsia="Times New Roman" w:hAnsi="Arial" w:cs="Times New Roman"/>
      <w:i/>
      <w:sz w:val="20"/>
      <w:szCs w:val="20"/>
      <w:lang w:eastAsia="pt-BR"/>
    </w:rPr>
  </w:style>
  <w:style w:type="character" w:customStyle="1" w:styleId="CabealhoChar">
    <w:name w:val="Cabeçalho Char"/>
    <w:basedOn w:val="Fontepargpadro"/>
    <w:link w:val="Cabealho"/>
    <w:rsid w:val="0015554F"/>
    <w:rPr>
      <w:rFonts w:ascii="Arial" w:eastAsia="Times New Roman" w:hAnsi="Arial" w:cs="Times New Roman"/>
      <w:i/>
      <w:sz w:val="20"/>
      <w:szCs w:val="20"/>
      <w:lang w:eastAsia="pt-BR"/>
    </w:rPr>
  </w:style>
  <w:style w:type="paragraph" w:styleId="Textodebalo">
    <w:name w:val="Balloon Text"/>
    <w:basedOn w:val="Normal"/>
    <w:link w:val="TextodebaloChar"/>
    <w:uiPriority w:val="99"/>
    <w:semiHidden/>
    <w:unhideWhenUsed/>
    <w:rsid w:val="0076375F"/>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6375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888</Words>
  <Characters>4801</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Celso Garcia de Oliveira</dc:creator>
  <cp:keywords/>
  <dc:description/>
  <cp:lastModifiedBy>Deilson Pires Cavalcante</cp:lastModifiedBy>
  <cp:revision>2</cp:revision>
  <cp:lastPrinted>2015-01-08T20:23:00Z</cp:lastPrinted>
  <dcterms:created xsi:type="dcterms:W3CDTF">2015-09-01T11:10:00Z</dcterms:created>
  <dcterms:modified xsi:type="dcterms:W3CDTF">2015-09-01T11:10:00Z</dcterms:modified>
</cp:coreProperties>
</file>